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tabs>
          <w:tab w:val="left" w:pos="6663" w:leader="none"/>
        </w:tabs>
        <w:spacing w:before="0" w:after="0" w:line="240"/>
        <w:ind w:right="0" w:left="4530" w:firstLine="0"/>
        <w:jc w:val="center"/>
        <w:rPr>
          <w:rFonts w:ascii="Calibri" w:hAnsi="Calibri" w:cs="Calibri" w:eastAsia="Calibri"/>
          <w:color w:val="000000"/>
          <w:spacing w:val="0"/>
          <w:position w:val="0"/>
          <w:sz w:val="22"/>
          <w:shd w:fill="auto" w:val="clear"/>
        </w:rPr>
      </w:pPr>
      <w:r>
        <w:object w:dxaOrig="4713" w:dyaOrig="3988">
          <v:rect xmlns:o="urn:schemas-microsoft-com:office:office" xmlns:v="urn:schemas-microsoft-com:vml" id="rectole0000000000" style="width:235.650000pt;height:199.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tabs>
          <w:tab w:val="left" w:pos="4672" w:leader="none"/>
        </w:tabs>
        <w:spacing w:before="0" w:after="0" w:line="240"/>
        <w:ind w:right="0" w:left="4530" w:firstLine="0"/>
        <w:jc w:val="center"/>
        <w:rPr>
          <w:rFonts w:ascii="Calibri" w:hAnsi="Calibri" w:cs="Calibri" w:eastAsia="Calibri"/>
          <w:color w:val="000000"/>
          <w:spacing w:val="0"/>
          <w:position w:val="0"/>
          <w:sz w:val="22"/>
          <w:shd w:fill="auto" w:val="clear"/>
        </w:rPr>
      </w:pPr>
    </w:p>
    <w:p>
      <w:pPr>
        <w:spacing w:before="0" w:after="0" w:line="240"/>
        <w:ind w:right="0" w:left="4530" w:firstLine="0"/>
        <w:jc w:val="both"/>
        <w:rPr>
          <w:rFonts w:ascii="Calibri" w:hAnsi="Calibri" w:cs="Calibri" w:eastAsia="Calibri"/>
          <w:color w:val="000000"/>
          <w:spacing w:val="0"/>
          <w:position w:val="0"/>
          <w:sz w:val="22"/>
          <w:shd w:fill="auto" w:val="clear"/>
        </w:rPr>
      </w:pPr>
    </w:p>
    <w:p>
      <w:pPr>
        <w:spacing w:before="0" w:after="0" w:line="240"/>
        <w:ind w:right="0" w:left="0" w:firstLine="0"/>
        <w:jc w:val="both"/>
        <w:rPr>
          <w:rFonts w:ascii="Calibri" w:hAnsi="Calibri" w:cs="Calibri" w:eastAsia="Calibri"/>
          <w:color w:val="000000"/>
          <w:spacing w:val="0"/>
          <w:position w:val="0"/>
          <w:sz w:val="22"/>
          <w:shd w:fill="auto" w:val="clear"/>
        </w:rPr>
      </w:pPr>
    </w:p>
    <w:p>
      <w:pPr>
        <w:tabs>
          <w:tab w:val="left" w:pos="2977" w:leader="none"/>
        </w:tabs>
        <w:spacing w:before="0" w:after="0" w:line="240"/>
        <w:ind w:right="0" w:left="0" w:firstLine="0"/>
        <w:jc w:val="both"/>
        <w:rPr>
          <w:rFonts w:ascii="Calibri" w:hAnsi="Calibri" w:cs="Calibri" w:eastAsia="Calibri"/>
          <w:color w:val="000000"/>
          <w:spacing w:val="0"/>
          <w:position w:val="0"/>
          <w:sz w:val="22"/>
          <w:shd w:fill="auto" w:val="clear"/>
        </w:rPr>
      </w:pPr>
    </w:p>
    <w:p>
      <w:pPr>
        <w:tabs>
          <w:tab w:val="left" w:pos="2977" w:leader="none"/>
        </w:tabs>
        <w:spacing w:before="0" w:after="0" w:line="240"/>
        <w:ind w:right="0" w:left="0" w:firstLine="0"/>
        <w:jc w:val="both"/>
        <w:rPr>
          <w:rFonts w:ascii="Calibri" w:hAnsi="Calibri" w:cs="Calibri" w:eastAsia="Calibri"/>
          <w:color w:val="000000"/>
          <w:spacing w:val="0"/>
          <w:position w:val="0"/>
          <w:sz w:val="22"/>
          <w:shd w:fill="auto" w:val="clear"/>
        </w:rPr>
      </w:pPr>
    </w:p>
    <w:p>
      <w:pPr>
        <w:tabs>
          <w:tab w:val="left" w:pos="6663" w:leader="none"/>
        </w:tabs>
        <w:spacing w:before="0" w:after="0" w:line="240"/>
        <w:ind w:right="0" w:left="4962" w:firstLine="0"/>
        <w:jc w:val="left"/>
        <w:rPr>
          <w:rFonts w:ascii="Calibri" w:hAnsi="Calibri" w:cs="Calibri" w:eastAsia="Calibri"/>
          <w:color w:val="000000"/>
          <w:spacing w:val="0"/>
          <w:position w:val="0"/>
          <w:sz w:val="22"/>
          <w:shd w:fill="auto" w:val="clear"/>
        </w:rPr>
      </w:pPr>
      <w:r>
        <w:rPr>
          <w:rFonts w:ascii="Arial" w:hAnsi="Arial" w:cs="Arial" w:eastAsia="Arial"/>
          <w:b/>
          <w:color w:val="000000"/>
          <w:spacing w:val="0"/>
          <w:position w:val="0"/>
          <w:sz w:val="24"/>
          <w:shd w:fill="auto" w:val="clear"/>
        </w:rPr>
        <w:t xml:space="preserve">A :</w:t>
      </w:r>
    </w:p>
    <w:p>
      <w:pPr>
        <w:tabs>
          <w:tab w:val="left" w:pos="4537" w:leader="none"/>
        </w:tabs>
        <w:spacing w:before="0" w:after="0" w:line="240"/>
        <w:ind w:right="0" w:left="4962" w:firstLine="0"/>
        <w:jc w:val="left"/>
        <w:rPr>
          <w:rFonts w:ascii="Arial" w:hAnsi="Arial" w:cs="Arial" w:eastAsia="Arial"/>
          <w:b/>
          <w:color w:val="000000"/>
          <w:spacing w:val="0"/>
          <w:position w:val="0"/>
          <w:sz w:val="24"/>
          <w:shd w:fill="auto" w:val="clear"/>
        </w:rPr>
      </w:pPr>
      <w:r>
        <w:rPr>
          <w:rFonts w:ascii="Arial" w:hAnsi="Arial" w:cs="Arial" w:eastAsia="Arial"/>
          <w:b/>
          <w:color w:val="000000"/>
          <w:spacing w:val="0"/>
          <w:position w:val="0"/>
          <w:sz w:val="24"/>
          <w:shd w:fill="auto" w:val="clear"/>
        </w:rPr>
        <w:t xml:space="preserve">COMMUNES</w:t>
      </w:r>
    </w:p>
    <w:p>
      <w:pPr>
        <w:tabs>
          <w:tab w:val="left" w:pos="4537" w:leader="none"/>
        </w:tabs>
        <w:spacing w:before="0" w:after="0" w:line="240"/>
        <w:ind w:right="0" w:left="4962" w:firstLine="0"/>
        <w:jc w:val="left"/>
        <w:rPr>
          <w:rFonts w:ascii="Calibri" w:hAnsi="Calibri" w:cs="Calibri" w:eastAsia="Calibri"/>
          <w:color w:val="000000"/>
          <w:spacing w:val="0"/>
          <w:position w:val="0"/>
          <w:sz w:val="22"/>
          <w:shd w:fill="auto" w:val="clear"/>
        </w:rPr>
      </w:pPr>
      <w:r>
        <w:rPr>
          <w:rFonts w:ascii="Arial" w:hAnsi="Arial" w:cs="Arial" w:eastAsia="Arial"/>
          <w:b/>
          <w:color w:val="000000"/>
          <w:spacing w:val="0"/>
          <w:position w:val="0"/>
          <w:sz w:val="24"/>
          <w:shd w:fill="auto" w:val="clear"/>
        </w:rPr>
        <w:t xml:space="preserve">CC</w:t>
      </w:r>
    </w:p>
    <w:p>
      <w:pPr>
        <w:tabs>
          <w:tab w:val="left" w:pos="2977" w:leader="none"/>
        </w:tabs>
        <w:spacing w:before="0" w:after="0" w:line="240"/>
        <w:ind w:right="0" w:left="0" w:firstLine="0"/>
        <w:jc w:val="both"/>
        <w:rPr>
          <w:rFonts w:ascii="Calibri" w:hAnsi="Calibri" w:cs="Calibri" w:eastAsia="Calibri"/>
          <w:color w:val="000000"/>
          <w:spacing w:val="0"/>
          <w:position w:val="0"/>
          <w:sz w:val="22"/>
          <w:shd w:fill="auto" w:val="clear"/>
        </w:rPr>
      </w:pPr>
    </w:p>
    <w:p>
      <w:pPr>
        <w:tabs>
          <w:tab w:val="left" w:pos="2977" w:leader="none"/>
        </w:tabs>
        <w:spacing w:before="0" w:after="0" w:line="240"/>
        <w:ind w:right="0" w:left="0" w:firstLine="0"/>
        <w:jc w:val="both"/>
        <w:rPr>
          <w:rFonts w:ascii="Calibri" w:hAnsi="Calibri" w:cs="Calibri" w:eastAsia="Calibri"/>
          <w:color w:val="000000"/>
          <w:spacing w:val="0"/>
          <w:position w:val="0"/>
          <w:sz w:val="22"/>
          <w:shd w:fill="auto" w:val="clear"/>
        </w:rPr>
      </w:pPr>
    </w:p>
    <w:p>
      <w:pPr>
        <w:tabs>
          <w:tab w:val="left" w:pos="2977" w:leader="none"/>
        </w:tabs>
        <w:spacing w:before="0" w:after="0" w:line="240"/>
        <w:ind w:right="0" w:left="0" w:firstLine="0"/>
        <w:jc w:val="both"/>
        <w:rPr>
          <w:rFonts w:ascii="Calibri" w:hAnsi="Calibri" w:cs="Calibri" w:eastAsia="Calibri"/>
          <w:color w:val="000000"/>
          <w:spacing w:val="0"/>
          <w:position w:val="0"/>
          <w:sz w:val="22"/>
          <w:shd w:fill="auto" w:val="clear"/>
        </w:rPr>
      </w:pPr>
    </w:p>
    <w:p>
      <w:pPr>
        <w:tabs>
          <w:tab w:val="left" w:pos="2977" w:leader="none"/>
        </w:tabs>
        <w:spacing w:before="0" w:after="0" w:line="240"/>
        <w:ind w:right="0" w:left="0" w:firstLine="0"/>
        <w:jc w:val="both"/>
        <w:rPr>
          <w:rFonts w:ascii="Calibri" w:hAnsi="Calibri" w:cs="Calibri" w:eastAsia="Calibri"/>
          <w:color w:val="000000"/>
          <w:spacing w:val="0"/>
          <w:position w:val="0"/>
          <w:sz w:val="22"/>
          <w:shd w:fill="auto" w:val="clear"/>
        </w:rPr>
      </w:pPr>
    </w:p>
    <w:p>
      <w:pPr>
        <w:tabs>
          <w:tab w:val="left" w:pos="2977" w:leader="none"/>
        </w:tabs>
        <w:spacing w:before="0" w:after="0" w:line="240"/>
        <w:ind w:right="0" w:left="0" w:firstLine="0"/>
        <w:jc w:val="both"/>
        <w:rPr>
          <w:rFonts w:ascii="Calibri" w:hAnsi="Calibri" w:cs="Calibri" w:eastAsia="Calibri"/>
          <w:color w:val="000000"/>
          <w:spacing w:val="0"/>
          <w:position w:val="0"/>
          <w:sz w:val="22"/>
          <w:shd w:fill="auto" w:val="clear"/>
        </w:rPr>
      </w:pPr>
    </w:p>
    <w:p>
      <w:pPr>
        <w:tabs>
          <w:tab w:val="left" w:pos="2977" w:leader="none"/>
        </w:tabs>
        <w:spacing w:before="0" w:after="0" w:line="240"/>
        <w:ind w:right="0" w:left="0" w:firstLine="0"/>
        <w:jc w:val="both"/>
        <w:rPr>
          <w:rFonts w:ascii="Calibri" w:hAnsi="Calibri" w:cs="Calibri" w:eastAsia="Calibri"/>
          <w:color w:val="000000"/>
          <w:spacing w:val="0"/>
          <w:position w:val="0"/>
          <w:sz w:val="22"/>
          <w:shd w:fill="auto" w:val="clear"/>
        </w:rPr>
      </w:pPr>
    </w:p>
    <w:p>
      <w:pPr>
        <w:tabs>
          <w:tab w:val="left" w:pos="2977" w:leader="none"/>
        </w:tabs>
        <w:spacing w:before="0" w:after="0" w:line="240"/>
        <w:ind w:right="0" w:left="0" w:firstLine="0"/>
        <w:jc w:val="both"/>
        <w:rPr>
          <w:rFonts w:ascii="Calibri" w:hAnsi="Calibri" w:cs="Calibri" w:eastAsia="Calibri"/>
          <w:color w:val="000000"/>
          <w:spacing w:val="0"/>
          <w:position w:val="0"/>
          <w:sz w:val="22"/>
          <w:shd w:fill="auto" w:val="clear"/>
        </w:rPr>
      </w:pPr>
      <w:r>
        <w:rPr>
          <w:rFonts w:ascii="Arial" w:hAnsi="Arial" w:cs="Arial" w:eastAsia="Arial"/>
          <w:color w:val="000000"/>
          <w:spacing w:val="0"/>
          <w:position w:val="0"/>
          <w:sz w:val="22"/>
          <w:shd w:fill="auto" w:val="clear"/>
        </w:rPr>
        <w:t xml:space="preserve">Date : 09 octobre 2017</w:t>
        <w:tab/>
        <w:tab/>
        <w:tab/>
        <w:tab/>
        <w:t xml:space="preserve">Affaire suivie par :   Sophie METAY</w:t>
      </w:r>
    </w:p>
    <w:p>
      <w:pPr>
        <w:spacing w:before="0" w:after="0" w:line="240"/>
        <w:ind w:right="0" w:left="4248" w:firstLine="708"/>
        <w:jc w:val="both"/>
        <w:rPr>
          <w:rFonts w:ascii="Calibri" w:hAnsi="Calibri" w:cs="Calibri" w:eastAsia="Calibri"/>
          <w:color w:val="000000"/>
          <w:spacing w:val="0"/>
          <w:position w:val="0"/>
          <w:sz w:val="22"/>
          <w:shd w:fill="auto" w:val="clear"/>
        </w:rPr>
      </w:pPr>
      <w:r>
        <w:rPr>
          <w:rFonts w:ascii="Arial" w:hAnsi="Arial" w:cs="Arial" w:eastAsia="Arial"/>
          <w:color w:val="000000"/>
          <w:spacing w:val="0"/>
          <w:position w:val="0"/>
          <w:sz w:val="22"/>
          <w:shd w:fill="auto" w:val="clear"/>
        </w:rPr>
        <w:t xml:space="preserve">tél. direct : 02 51 50 78 79</w:t>
      </w:r>
    </w:p>
    <w:p>
      <w:pPr>
        <w:spacing w:before="0" w:after="0" w:line="240"/>
        <w:ind w:right="0" w:left="4248" w:firstLine="708"/>
        <w:jc w:val="both"/>
        <w:rPr>
          <w:rFonts w:ascii="Calibri" w:hAnsi="Calibri" w:cs="Calibri" w:eastAsia="Calibri"/>
          <w:color w:val="000000"/>
          <w:spacing w:val="0"/>
          <w:position w:val="0"/>
          <w:sz w:val="22"/>
          <w:shd w:fill="auto" w:val="clear"/>
        </w:rPr>
      </w:pPr>
      <w:r>
        <w:rPr>
          <w:rFonts w:ascii="Arial" w:hAnsi="Arial" w:cs="Arial" w:eastAsia="Arial"/>
          <w:color w:val="000000"/>
          <w:spacing w:val="0"/>
          <w:position w:val="0"/>
          <w:sz w:val="22"/>
          <w:shd w:fill="auto" w:val="clear"/>
        </w:rPr>
        <w:t xml:space="preserve">courriel : </w:t>
      </w:r>
      <w:hyperlink xmlns:r="http://schemas.openxmlformats.org/officeDocument/2006/relationships" r:id="docRId2">
        <w:r>
          <w:rPr>
            <w:rFonts w:ascii="Arial" w:hAnsi="Arial" w:cs="Arial" w:eastAsia="Arial"/>
            <w:color w:val="0000FF"/>
            <w:spacing w:val="0"/>
            <w:position w:val="0"/>
            <w:sz w:val="22"/>
            <w:u w:val="single"/>
            <w:shd w:fill="auto" w:val="clear"/>
          </w:rPr>
          <w:t xml:space="preserve">sophie.metay@sycodem.fr</w:t>
        </w:r>
      </w:hyperlink>
    </w:p>
    <w:p>
      <w:pPr>
        <w:spacing w:before="0" w:after="0" w:line="240"/>
        <w:ind w:right="0" w:left="0" w:firstLine="0"/>
        <w:jc w:val="both"/>
        <w:rPr>
          <w:rFonts w:ascii="Calibri" w:hAnsi="Calibri" w:cs="Calibri" w:eastAsia="Calibri"/>
          <w:color w:val="000000"/>
          <w:spacing w:val="0"/>
          <w:position w:val="0"/>
          <w:sz w:val="22"/>
          <w:shd w:fill="auto" w:val="clear"/>
        </w:rPr>
      </w:pPr>
    </w:p>
    <w:p>
      <w:pPr>
        <w:spacing w:before="0" w:after="0" w:line="240"/>
        <w:ind w:right="0" w:left="0" w:firstLine="0"/>
        <w:jc w:val="both"/>
        <w:rPr>
          <w:rFonts w:ascii="Calibri" w:hAnsi="Calibri" w:cs="Calibri" w:eastAsia="Calibri"/>
          <w:color w:val="000000"/>
          <w:spacing w:val="0"/>
          <w:position w:val="0"/>
          <w:sz w:val="22"/>
          <w:shd w:fill="auto" w:val="clear"/>
        </w:rPr>
      </w:pPr>
    </w:p>
    <w:p>
      <w:pPr>
        <w:spacing w:before="0" w:after="0" w:line="240"/>
        <w:ind w:right="0" w:left="0" w:firstLine="0"/>
        <w:jc w:val="center"/>
        <w:rPr>
          <w:rFonts w:ascii="Calibri" w:hAnsi="Calibri" w:cs="Calibri" w:eastAsia="Calibri"/>
          <w:color w:val="000000"/>
          <w:spacing w:val="0"/>
          <w:position w:val="0"/>
          <w:sz w:val="22"/>
          <w:shd w:fill="auto" w:val="clear"/>
        </w:rPr>
      </w:pPr>
      <w:r>
        <w:rPr>
          <w:rFonts w:ascii="Arial" w:hAnsi="Arial" w:cs="Arial" w:eastAsia="Arial"/>
          <w:b/>
          <w:color w:val="000000"/>
          <w:spacing w:val="0"/>
          <w:position w:val="0"/>
          <w:sz w:val="40"/>
          <w:shd w:fill="auto" w:val="clear"/>
        </w:rPr>
        <w:t xml:space="preserve">COMMUNIQUÉ</w:t>
      </w:r>
    </w:p>
    <w:p>
      <w:pPr>
        <w:spacing w:before="0" w:after="0" w:line="240"/>
        <w:ind w:right="0" w:left="0" w:firstLine="0"/>
        <w:jc w:val="both"/>
        <w:rPr>
          <w:rFonts w:ascii="Calibri" w:hAnsi="Calibri" w:cs="Calibri" w:eastAsia="Calibri"/>
          <w:color w:val="000000"/>
          <w:spacing w:val="0"/>
          <w:position w:val="0"/>
          <w:sz w:val="22"/>
          <w:shd w:fill="auto" w:val="clear"/>
        </w:rPr>
      </w:pPr>
    </w:p>
    <w:p>
      <w:pPr>
        <w:spacing w:before="0" w:after="200" w:line="240"/>
        <w:ind w:right="0" w:left="0" w:firstLine="0"/>
        <w:jc w:val="both"/>
        <w:rPr>
          <w:rFonts w:ascii="Calibri" w:hAnsi="Calibri" w:cs="Calibri" w:eastAsia="Calibri"/>
          <w:color w:val="000000"/>
          <w:spacing w:val="0"/>
          <w:position w:val="0"/>
          <w:sz w:val="22"/>
          <w:shd w:fill="auto" w:val="clear"/>
        </w:rPr>
      </w:pPr>
    </w:p>
    <w:p>
      <w:pPr>
        <w:spacing w:before="0" w:after="200" w:line="276"/>
        <w:ind w:right="0" w:left="0" w:firstLine="0"/>
        <w:jc w:val="left"/>
        <w:rPr>
          <w:rFonts w:ascii="Calibri" w:hAnsi="Calibri" w:cs="Calibri" w:eastAsia="Calibri"/>
          <w:b/>
          <w:color w:val="000000"/>
          <w:spacing w:val="0"/>
          <w:position w:val="0"/>
          <w:sz w:val="28"/>
          <w:shd w:fill="auto" w:val="clear"/>
        </w:rPr>
      </w:pPr>
      <w:r>
        <w:rPr>
          <w:rFonts w:ascii="Calibri" w:hAnsi="Calibri" w:cs="Calibri" w:eastAsia="Calibri"/>
          <w:b/>
          <w:color w:val="000000"/>
          <w:spacing w:val="0"/>
          <w:position w:val="0"/>
          <w:sz w:val="28"/>
          <w:shd w:fill="auto" w:val="clear"/>
        </w:rPr>
        <w:t xml:space="preserve">1er JANVIER 2018 : LANCEMENT DE LA REDEVANCE INCITATIVE</w:t>
      </w:r>
    </w:p>
    <w:p>
      <w:pPr>
        <w:spacing w:before="300" w:after="30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Après la mise en place des équipements, l’enregistrement des données, les ajustements techniques, la redevance incitative est prête à voir le jour. </w:t>
      </w:r>
      <w:r>
        <w:rPr>
          <w:rFonts w:ascii="Calibri" w:hAnsi="Calibri" w:cs="Calibri" w:eastAsia="Calibri"/>
          <w:b/>
          <w:color w:val="auto"/>
          <w:spacing w:val="0"/>
          <w:position w:val="0"/>
          <w:sz w:val="22"/>
          <w:shd w:fill="auto" w:val="clear"/>
        </w:rPr>
        <w:t xml:space="preserve">A partir du 1</w:t>
      </w:r>
      <w:r>
        <w:rPr>
          <w:rFonts w:ascii="Calibri" w:hAnsi="Calibri" w:cs="Calibri" w:eastAsia="Calibri"/>
          <w:b/>
          <w:color w:val="auto"/>
          <w:spacing w:val="0"/>
          <w:position w:val="0"/>
          <w:sz w:val="22"/>
          <w:shd w:fill="auto" w:val="clear"/>
          <w:vertAlign w:val="superscript"/>
        </w:rPr>
        <w:t xml:space="preserve">er</w:t>
      </w:r>
      <w:r>
        <w:rPr>
          <w:rFonts w:ascii="Calibri" w:hAnsi="Calibri" w:cs="Calibri" w:eastAsia="Calibri"/>
          <w:b/>
          <w:color w:val="auto"/>
          <w:spacing w:val="0"/>
          <w:position w:val="0"/>
          <w:sz w:val="22"/>
          <w:shd w:fill="auto" w:val="clear"/>
        </w:rPr>
        <w:t xml:space="preserve"> janvier 2018, la Taxe d’Enlèvement des Ordures Ménagères est remplacée par cette nouvelle tarification</w:t>
      </w:r>
      <w:r>
        <w:rPr>
          <w:rFonts w:ascii="Calibri" w:hAnsi="Calibri" w:cs="Calibri" w:eastAsia="Calibri"/>
          <w:color w:val="auto"/>
          <w:spacing w:val="0"/>
          <w:position w:val="0"/>
          <w:sz w:val="22"/>
          <w:shd w:fill="auto" w:val="clear"/>
        </w:rPr>
        <w:t xml:space="preserve">. </w:t>
      </w:r>
    </w:p>
    <w:p>
      <w:pPr>
        <w:spacing w:before="300" w:after="30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La redevance incitative a un double objectif :</w:t>
      </w:r>
    </w:p>
    <w:p>
      <w:pPr>
        <w:numPr>
          <w:ilvl w:val="0"/>
          <w:numId w:val="16"/>
        </w:numPr>
        <w:tabs>
          <w:tab w:val="left" w:pos="720" w:leader="none"/>
        </w:tabs>
        <w:spacing w:before="120" w:after="0" w:line="240"/>
        <w:ind w:right="0" w:left="1020" w:hanging="36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faire en sorte que chacun soit acteur de sa facture « déchets »,</w:t>
      </w:r>
    </w:p>
    <w:p>
      <w:pPr>
        <w:numPr>
          <w:ilvl w:val="0"/>
          <w:numId w:val="16"/>
        </w:numPr>
        <w:tabs>
          <w:tab w:val="left" w:pos="720" w:leader="none"/>
        </w:tabs>
        <w:spacing w:before="0" w:after="220" w:line="240"/>
        <w:ind w:right="0" w:left="1020" w:hanging="36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favoriser de nouveaux gestes permettant de réduire la production de déchets.</w:t>
      </w:r>
    </w:p>
    <w:p>
      <w:pPr>
        <w:spacing w:before="0" w:after="200" w:line="276"/>
        <w:ind w:right="0" w:left="0" w:firstLine="0"/>
        <w:jc w:val="both"/>
        <w:rPr>
          <w:rFonts w:ascii="Calibri" w:hAnsi="Calibri" w:cs="Calibri" w:eastAsia="Calibri"/>
          <w:color w:val="000000"/>
          <w:spacing w:val="0"/>
          <w:position w:val="0"/>
          <w:sz w:val="22"/>
          <w:shd w:fill="auto" w:val="clear"/>
        </w:rPr>
      </w:pPr>
      <w:r>
        <w:rPr>
          <w:rFonts w:ascii="Calibri" w:hAnsi="Calibri" w:cs="Calibri" w:eastAsia="Calibri"/>
          <w:color w:val="auto"/>
          <w:spacing w:val="0"/>
          <w:position w:val="0"/>
          <w:sz w:val="22"/>
          <w:shd w:fill="auto" w:val="clear"/>
        </w:rPr>
        <w:t xml:space="preserve">Pour les atteindre, elle est basée sur le nombre de vidages du bac noir, le nombre de dépôts en conteneurs d’apport volontaire pour les ordures ménagères et le nombre d’accès en déchèteries. N</w:t>
      </w:r>
      <w:r>
        <w:rPr>
          <w:rFonts w:ascii="Calibri" w:hAnsi="Calibri" w:cs="Calibri" w:eastAsia="Calibri"/>
          <w:color w:val="000000"/>
          <w:spacing w:val="0"/>
          <w:position w:val="0"/>
          <w:sz w:val="22"/>
          <w:shd w:fill="auto" w:val="clear"/>
        </w:rPr>
        <w:t xml:space="preserve">ous sommes donc tous concernés : professionnels, particuliers habitant en pavillons ou en logements collectifs : c’est bien l’usage du service qui est pris en compte par cette facture incitative.</w:t>
      </w:r>
    </w:p>
    <w:p>
      <w:pPr>
        <w:spacing w:before="0" w:after="200" w:line="276"/>
        <w:ind w:right="0" w:left="0" w:firstLine="0"/>
        <w:jc w:val="both"/>
        <w:rPr>
          <w:rFonts w:ascii="Calibri" w:hAnsi="Calibri" w:cs="Calibri" w:eastAsia="Calibri"/>
          <w:b/>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Les étapes de facturation :</w:t>
      </w:r>
    </w:p>
    <w:p>
      <w:pPr>
        <w:spacing w:before="0" w:after="200" w:line="276"/>
        <w:ind w:right="0" w:left="0" w:firstLine="0"/>
        <w:jc w:val="both"/>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octobre 2017 : courrier personnalisé accompagné d’une facture « spécimen » à 0 € et la grille tarifaire expliquée en vue de la vraie facturation de 2018.</w:t>
      </w:r>
    </w:p>
    <w:p>
      <w:pPr>
        <w:spacing w:before="0" w:after="200" w:line="276"/>
        <w:ind w:right="0" w:left="0" w:firstLine="0"/>
        <w:jc w:val="both"/>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janvier 2018 : facture de la part fixe (ou abonnement) pour les 6 premiers mois.</w:t>
      </w:r>
    </w:p>
    <w:p>
      <w:pPr>
        <w:spacing w:before="0" w:after="200" w:line="276"/>
        <w:ind w:right="0" w:left="0" w:firstLine="0"/>
        <w:jc w:val="both"/>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juillet 2018 : facture de la part fixe (ou abonnement) pour les 6 derniers mois + la part variable (ou consommation, au-delà de la part fixe) éventuelle des 6 premiers mois.</w:t>
      </w:r>
    </w:p>
    <w:p>
      <w:pPr>
        <w:spacing w:before="0" w:after="200" w:line="276"/>
        <w:ind w:right="0" w:left="0" w:firstLine="0"/>
        <w:jc w:val="both"/>
        <w:rPr>
          <w:rFonts w:ascii="Calibri" w:hAnsi="Calibri" w:cs="Calibri" w:eastAsia="Calibri"/>
          <w:b/>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Chaque année, la grille tarifaire sera révisée pour assurer une tarification au plus près des usages constatés sur le territoire.</w:t>
      </w:r>
    </w:p>
    <w:p>
      <w:pPr>
        <w:spacing w:before="0" w:after="200" w:line="276"/>
        <w:ind w:right="0" w:left="0" w:firstLine="0"/>
        <w:jc w:val="left"/>
        <w:rPr>
          <w:rFonts w:ascii="Calibri" w:hAnsi="Calibri" w:cs="Calibri" w:eastAsia="Calibri"/>
          <w:color w:val="000000"/>
          <w:spacing w:val="0"/>
          <w:position w:val="0"/>
          <w:sz w:val="22"/>
          <w:shd w:fill="auto" w:val="clear"/>
        </w:rPr>
      </w:pPr>
    </w:p>
    <w:p>
      <w:pPr>
        <w:spacing w:before="0" w:after="200" w:line="276"/>
        <w:ind w:right="0" w:left="0" w:firstLine="0"/>
        <w:jc w:val="left"/>
        <w:rPr>
          <w:rFonts w:ascii="Calibri" w:hAnsi="Calibri" w:cs="Calibri" w:eastAsia="Calibri"/>
          <w:color w:val="000000"/>
          <w:spacing w:val="0"/>
          <w:position w:val="0"/>
          <w:sz w:val="22"/>
          <w:shd w:fill="auto" w:val="clear"/>
        </w:rPr>
      </w:pPr>
    </w:p>
    <w:p>
      <w:pPr>
        <w:spacing w:before="0" w:after="200" w:line="276"/>
        <w:ind w:right="0" w:left="0" w:firstLine="0"/>
        <w:jc w:val="left"/>
        <w:rPr>
          <w:rFonts w:ascii="Calibri" w:hAnsi="Calibri" w:cs="Calibri" w:eastAsia="Calibri"/>
          <w:b/>
          <w:color w:val="000000"/>
          <w:spacing w:val="0"/>
          <w:position w:val="0"/>
          <w:sz w:val="28"/>
          <w:shd w:fill="auto" w:val="clear"/>
        </w:rPr>
      </w:pPr>
      <w:r>
        <w:rPr>
          <w:rFonts w:ascii="Calibri" w:hAnsi="Calibri" w:cs="Calibri" w:eastAsia="Calibri"/>
          <w:b/>
          <w:color w:val="000000"/>
          <w:spacing w:val="0"/>
          <w:position w:val="0"/>
          <w:sz w:val="28"/>
          <w:shd w:fill="auto" w:val="clear"/>
        </w:rPr>
        <w:t xml:space="preserve">AGIR SUR SA FACTURE</w:t>
      </w:r>
    </w:p>
    <w:p>
      <w:pPr>
        <w:numPr>
          <w:ilvl w:val="0"/>
          <w:numId w:val="20"/>
        </w:numPr>
        <w:spacing w:before="0" w:after="160" w:line="259"/>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TRIEZ </w:t>
      </w:r>
      <w:r>
        <w:rPr>
          <w:rFonts w:ascii="Calibri" w:hAnsi="Calibri" w:cs="Calibri" w:eastAsia="Calibri"/>
          <w:color w:val="auto"/>
          <w:spacing w:val="0"/>
          <w:position w:val="0"/>
          <w:sz w:val="22"/>
          <w:shd w:fill="auto" w:val="clear"/>
        </w:rPr>
        <w:t xml:space="preserve">: tous les emballages ménagers se déposent dans le bac ou conteneur jaune. Retrouvez les consignes de tri sur le Mémo-tri auprès du Sycodem ou </w:t>
      </w:r>
      <w:hyperlink xmlns:r="http://schemas.openxmlformats.org/officeDocument/2006/relationships" r:id="docRId3">
        <w:r>
          <w:rPr>
            <w:rFonts w:ascii="Calibri" w:hAnsi="Calibri" w:cs="Calibri" w:eastAsia="Calibri"/>
            <w:color w:val="0563C1"/>
            <w:spacing w:val="0"/>
            <w:position w:val="0"/>
            <w:sz w:val="22"/>
            <w:u w:val="single"/>
            <w:shd w:fill="auto" w:val="clear"/>
          </w:rPr>
          <w:t xml:space="preserve">www.sycodem.fr</w:t>
        </w:r>
      </w:hyperlink>
    </w:p>
    <w:p>
      <w:pPr>
        <w:numPr>
          <w:ilvl w:val="0"/>
          <w:numId w:val="20"/>
        </w:numPr>
        <w:spacing w:before="0" w:after="160" w:line="259"/>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VALORISEZ VOS BIODECHETS</w:t>
      </w:r>
      <w:r>
        <w:rPr>
          <w:rFonts w:ascii="Calibri" w:hAnsi="Calibri" w:cs="Calibri" w:eastAsia="Calibri"/>
          <w:color w:val="auto"/>
          <w:spacing w:val="0"/>
          <w:position w:val="0"/>
          <w:sz w:val="22"/>
          <w:shd w:fill="auto" w:val="clear"/>
        </w:rPr>
        <w:t xml:space="preserve"> : la majorité des déchets biodégradables peuvent être compostés. Le Sycodem remet un composteur par foyer bénéficiant d’un jardin. Les poules sont aussi un bon moyen d’éviter le dépôt de ces déchets putrescibles dans le bac noir.</w:t>
      </w:r>
    </w:p>
    <w:p>
      <w:pPr>
        <w:spacing w:before="0" w:after="160" w:line="259"/>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i/>
          <w:color w:val="auto"/>
          <w:spacing w:val="0"/>
          <w:position w:val="0"/>
          <w:sz w:val="22"/>
          <w:shd w:fill="auto" w:val="clear"/>
        </w:rPr>
        <w:t xml:space="preserve">En cœur-de-ville de Fontenay-le-Comte, en habitat collectif : le Sycodem déploie actuellement des moyens techniques et humains pour étudier et apporter des solutions à ce type d’habitat.</w:t>
      </w:r>
    </w:p>
    <w:p>
      <w:pPr>
        <w:numPr>
          <w:ilvl w:val="0"/>
          <w:numId w:val="22"/>
        </w:numPr>
        <w:spacing w:before="0" w:after="160" w:line="259"/>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OPTIMISEZ VOTRE UTILISATION DU SERVICE </w:t>
      </w:r>
      <w:r>
        <w:rPr>
          <w:rFonts w:ascii="Calibri" w:hAnsi="Calibri" w:cs="Calibri" w:eastAsia="Calibri"/>
          <w:color w:val="auto"/>
          <w:spacing w:val="0"/>
          <w:position w:val="0"/>
          <w:sz w:val="22"/>
          <w:shd w:fill="auto" w:val="clear"/>
        </w:rPr>
        <w:t xml:space="preserve">: présentez votre bac noir plein couvercle fermé ; entrez en déchèterie lorsque vous avez suffisamment de déchets.</w:t>
      </w:r>
    </w:p>
    <w:p>
      <w:pPr>
        <w:numPr>
          <w:ilvl w:val="0"/>
          <w:numId w:val="22"/>
        </w:numPr>
        <w:spacing w:before="0" w:after="160" w:line="259"/>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FFFFFF" w:val="clear"/>
        </w:rPr>
        <w:t xml:space="preserve">REDUISEZ VOTRE PRODUCTION DE DECHETS</w:t>
      </w:r>
      <w:r>
        <w:rPr>
          <w:rFonts w:ascii="Calibri" w:hAnsi="Calibri" w:cs="Calibri" w:eastAsia="Calibri"/>
          <w:color w:val="auto"/>
          <w:spacing w:val="0"/>
          <w:position w:val="0"/>
          <w:sz w:val="22"/>
          <w:shd w:fill="FFFFFF" w:val="clear"/>
        </w:rPr>
        <w:t xml:space="preserve"> : un bon déchet reste un déchet qui n’est pas produit ! Préférer les produits sans sur-emballage, éviter le gaspillage, adopter le stop-pub, sont autant de mesures permettant de limiter la quantité de déchets que nous produisons : adoptons les bons gestes !</w:t>
      </w:r>
    </w:p>
    <w:p>
      <w:pPr>
        <w:spacing w:before="0" w:after="200" w:line="276"/>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Les services de collecte et de déchèterie restent accessibles (ramassage en porte-à-porte suivant le calendrier de collecte, apport volontaire 24h/24, déchèterie suivant les horaires d’ouverture) : utilisez les services du Sycodem suivant vos besoins et votre situation du moment.</w:t>
      </w:r>
    </w:p>
    <w:p>
      <w:pPr>
        <w:spacing w:before="0" w:after="200" w:line="276"/>
        <w:ind w:right="0" w:left="0" w:firstLine="0"/>
        <w:jc w:val="left"/>
        <w:rPr>
          <w:rFonts w:ascii="Calibri" w:hAnsi="Calibri" w:cs="Calibri" w:eastAsia="Calibri"/>
          <w:b/>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Rappels :</w:t>
      </w:r>
    </w:p>
    <w:p>
      <w:pPr>
        <w:numPr>
          <w:ilvl w:val="0"/>
          <w:numId w:val="24"/>
        </w:numPr>
        <w:spacing w:before="0" w:after="160" w:line="259"/>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tout déménagement ou évolution du foyer doit être signalé au Sycodem sur </w:t>
      </w:r>
      <w:hyperlink xmlns:r="http://schemas.openxmlformats.org/officeDocument/2006/relationships" r:id="docRId4">
        <w:r>
          <w:rPr>
            <w:rFonts w:ascii="Calibri" w:hAnsi="Calibri" w:cs="Calibri" w:eastAsia="Calibri"/>
            <w:color w:val="0563C1"/>
            <w:spacing w:val="0"/>
            <w:position w:val="0"/>
            <w:sz w:val="22"/>
            <w:u w:val="single"/>
            <w:shd w:fill="auto" w:val="clear"/>
          </w:rPr>
          <w:t xml:space="preserve">www.sycodem.fr</w:t>
        </w:r>
      </w:hyperlink>
      <w:r>
        <w:rPr>
          <w:rFonts w:ascii="Calibri" w:hAnsi="Calibri" w:cs="Calibri" w:eastAsia="Calibri"/>
          <w:color w:val="auto"/>
          <w:spacing w:val="0"/>
          <w:position w:val="0"/>
          <w:sz w:val="22"/>
          <w:shd w:fill="auto" w:val="clear"/>
        </w:rPr>
        <w:t xml:space="preserve">, ou 02.51.50.75.35</w:t>
      </w:r>
    </w:p>
    <w:p>
      <w:pPr>
        <w:numPr>
          <w:ilvl w:val="0"/>
          <w:numId w:val="24"/>
        </w:numPr>
        <w:spacing w:before="0" w:after="160" w:line="259"/>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une réclamation sur votre facture ? redevance@sycodem.fr</w:t>
      </w:r>
    </w:p>
    <w:p>
      <w:pPr>
        <w:spacing w:before="0" w:after="200" w:line="276"/>
        <w:ind w:right="0" w:left="0" w:firstLine="0"/>
        <w:jc w:val="left"/>
        <w:rPr>
          <w:rFonts w:ascii="Arial" w:hAnsi="Arial" w:cs="Arial" w:eastAsia="Arial"/>
          <w:color w:val="000000"/>
          <w:spacing w:val="0"/>
          <w:position w:val="0"/>
          <w:sz w:val="22"/>
          <w:shd w:fill="auto" w:val="clear"/>
        </w:rPr>
      </w:pPr>
    </w:p>
    <w:p>
      <w:pPr>
        <w:spacing w:before="0" w:after="200" w:line="276"/>
        <w:ind w:right="0" w:left="0" w:firstLine="0"/>
        <w:jc w:val="left"/>
        <w:rPr>
          <w:rFonts w:ascii="Arial" w:hAnsi="Arial" w:cs="Arial" w:eastAsia="Arial"/>
          <w:color w:val="000000"/>
          <w:spacing w:val="0"/>
          <w:position w:val="0"/>
          <w:sz w:val="22"/>
          <w:shd w:fill="auto" w:val="clear"/>
        </w:rPr>
      </w:pPr>
    </w:p>
    <w:p>
      <w:pPr>
        <w:spacing w:before="0" w:after="200" w:line="276"/>
        <w:ind w:right="0" w:left="0" w:firstLine="0"/>
        <w:jc w:val="left"/>
        <w:rPr>
          <w:rFonts w:ascii="Arial" w:hAnsi="Arial" w:cs="Arial" w:eastAsia="Arial"/>
          <w:b/>
          <w:color w:val="000000"/>
          <w:spacing w:val="0"/>
          <w:position w:val="0"/>
          <w:sz w:val="28"/>
          <w:shd w:fill="auto" w:val="clear"/>
        </w:rPr>
      </w:pPr>
      <w:r>
        <w:rPr>
          <w:rFonts w:ascii="Arial" w:hAnsi="Arial" w:cs="Arial" w:eastAsia="Arial"/>
          <w:b/>
          <w:color w:val="000000"/>
          <w:spacing w:val="0"/>
          <w:position w:val="0"/>
          <w:sz w:val="28"/>
          <w:shd w:fill="auto" w:val="clear"/>
        </w:rPr>
        <w:t xml:space="preserve">MAITRISER SA FACTURE</w:t>
      </w:r>
    </w:p>
    <w:p>
      <w:pPr>
        <w:spacing w:before="0" w:after="200" w:line="276"/>
        <w:ind w:right="0" w:left="0" w:firstLine="0"/>
        <w:jc w:val="left"/>
        <w:rPr>
          <w:rFonts w:ascii="Arial" w:hAnsi="Arial" w:cs="Arial" w:eastAsia="Arial"/>
          <w:color w:val="000000"/>
          <w:spacing w:val="0"/>
          <w:position w:val="0"/>
          <w:sz w:val="22"/>
          <w:shd w:fill="auto" w:val="clear"/>
        </w:rPr>
      </w:pPr>
      <w:r>
        <w:object w:dxaOrig="11660" w:dyaOrig="18477">
          <v:rect xmlns:o="urn:schemas-microsoft-com:office:office" xmlns:v="urn:schemas-microsoft-com:vml" id="rectole0000000001" style="width:583.000000pt;height:923.85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1" ShapeID="rectole0000000001" r:id="docRId5"/>
        </w:objec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num w:numId="16">
    <w:abstractNumId w:val="18"/>
  </w:num>
  <w:num w:numId="20">
    <w:abstractNumId w:val="12"/>
  </w:num>
  <w:num w:numId="22">
    <w:abstractNumId w:val="6"/>
  </w:num>
  <w:num w:numId="24">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ode="External" Target="http://www.sycodem.fr/" Id="docRId3" Type="http://schemas.openxmlformats.org/officeDocument/2006/relationships/hyperlink"/><Relationship Target="numbering.xml" Id="docRId7" Type="http://schemas.openxmlformats.org/officeDocument/2006/relationships/numbering"/><Relationship Target="embeddings/oleObject0.bin" Id="docRId0" Type="http://schemas.openxmlformats.org/officeDocument/2006/relationships/oleObject"/><Relationship TargetMode="External" Target="mailto:sophie.metay@sycodem.fr" Id="docRId2" Type="http://schemas.openxmlformats.org/officeDocument/2006/relationships/hyperlink"/><Relationship TargetMode="External" Target="http://www.sycodem.fr/" Id="docRId4" Type="http://schemas.openxmlformats.org/officeDocument/2006/relationships/hyperlink"/><Relationship Target="media/image1.wmf" Id="docRId6" Type="http://schemas.openxmlformats.org/officeDocument/2006/relationships/image"/><Relationship Target="styles.xml" Id="docRId8" Type="http://schemas.openxmlformats.org/officeDocument/2006/relationships/styles"/><Relationship Target="media/image0.wmf" Id="docRId1" Type="http://schemas.openxmlformats.org/officeDocument/2006/relationships/image"/><Relationship Target="embeddings/oleObject1.bin" Id="docRId5" Type="http://schemas.openxmlformats.org/officeDocument/2006/relationships/oleObject"/></Relationships>
</file>